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04ABB" w14:textId="43710ADF" w:rsidR="30725587" w:rsidRPr="007F3C12" w:rsidRDefault="30725587" w:rsidP="29DE67B3">
      <w:pPr>
        <w:pStyle w:val="Title"/>
        <w:rPr>
          <w:color w:val="2F5496" w:themeColor="accent1" w:themeShade="BF"/>
          <w:sz w:val="48"/>
          <w:szCs w:val="48"/>
        </w:rPr>
      </w:pPr>
      <w:r w:rsidRPr="007F3C12">
        <w:rPr>
          <w:color w:val="2F5496" w:themeColor="accent1" w:themeShade="BF"/>
          <w:sz w:val="48"/>
          <w:szCs w:val="48"/>
        </w:rPr>
        <w:t xml:space="preserve">Choosing a Market Opportunity </w:t>
      </w:r>
    </w:p>
    <w:p w14:paraId="0A0A13B0" w14:textId="4D63FC2D" w:rsidR="2BE6758B" w:rsidRDefault="2BE6758B" w:rsidP="29DE67B3">
      <w:r>
        <w:t xml:space="preserve">Once you’ve chosen a sector, it’s time to narrow </w:t>
      </w:r>
      <w:r w:rsidR="00533F51">
        <w:t>it</w:t>
      </w:r>
      <w:r>
        <w:t xml:space="preserve"> down to a more specific market opportunity. A sector is a grouping of businesses in the economy that share related products/services. A market opportunity has potential to generate multiple forms of wealth locally. </w:t>
      </w:r>
      <w:r w:rsidR="70F1F120">
        <w:t xml:space="preserve">The market opportunity should be small enough </w:t>
      </w:r>
      <w:r w:rsidR="3A112815">
        <w:t>to be manageable but large enough to impact</w:t>
      </w:r>
      <w:r w:rsidR="00533F51">
        <w:t xml:space="preserve"> </w:t>
      </w:r>
      <w:r w:rsidR="1FCA3112">
        <w:t xml:space="preserve">community capital. </w:t>
      </w:r>
      <w:r w:rsidR="00533F51">
        <w:t>G</w:t>
      </w:r>
      <w:r w:rsidR="1FCA3112">
        <w:t xml:space="preserve">eography, </w:t>
      </w:r>
      <w:proofErr w:type="gramStart"/>
      <w:r w:rsidR="1FCA3112">
        <w:t>assets</w:t>
      </w:r>
      <w:proofErr w:type="gramEnd"/>
      <w:r w:rsidR="1FCA3112">
        <w:t xml:space="preserve"> and existing economic activity also influence the focus. It’s important to think about scale from the beginning; however, you can adjust the focus and scale over time.</w:t>
      </w:r>
      <w:r w:rsidR="52261B9D">
        <w:t xml:space="preserve"> </w:t>
      </w:r>
      <w:r w:rsidR="00533F51">
        <w:t>B</w:t>
      </w:r>
      <w:r w:rsidR="52261B9D">
        <w:t xml:space="preserve">alance the </w:t>
      </w:r>
      <w:r w:rsidR="00533F51">
        <w:t>geography</w:t>
      </w:r>
      <w:r w:rsidR="52261B9D">
        <w:t xml:space="preserve"> of the assets and economic activity, with value chain challenges/opportunities, stakeholder commitment and identified markets.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130"/>
        <w:gridCol w:w="7635"/>
        <w:gridCol w:w="1170"/>
        <w:gridCol w:w="1185"/>
        <w:gridCol w:w="982"/>
      </w:tblGrid>
      <w:tr w:rsidR="29DE67B3" w14:paraId="5BF9591C" w14:textId="77777777" w:rsidTr="29DE67B3">
        <w:trPr>
          <w:trHeight w:val="300"/>
        </w:trPr>
        <w:tc>
          <w:tcPr>
            <w:tcW w:w="21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4F81BD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70DFC735" w14:textId="43FCA956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4F81BD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388E9002" w14:textId="3E2D22B8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337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4F81BD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4347788F" w14:textId="37A548B5" w:rsidR="29DE67B3" w:rsidRDefault="29DE67B3" w:rsidP="29DE67B3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29DE67B3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Rating</w:t>
            </w:r>
          </w:p>
        </w:tc>
      </w:tr>
      <w:tr w:rsidR="29DE67B3" w14:paraId="03B34E25" w14:textId="77777777" w:rsidTr="00533F51">
        <w:trPr>
          <w:trHeight w:val="258"/>
        </w:trPr>
        <w:tc>
          <w:tcPr>
            <w:tcW w:w="21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0D8E8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5DC5B617" w14:textId="26B320BA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0D8E8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303624B0" w14:textId="00154DA4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9DE67B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Criteria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8D08D" w:themeFill="accent6" w:themeFillTint="99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312ED955" w14:textId="3090D0BE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9DE67B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High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2CC" w:themeFill="accent4" w:themeFillTint="33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3B4C5E42" w14:textId="063B2167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9DE67B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Medium</w:t>
            </w:r>
          </w:p>
        </w:tc>
        <w:tc>
          <w:tcPr>
            <w:tcW w:w="9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CA2A2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6D26EBB8" w14:textId="32A919EE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9DE67B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Low</w:t>
            </w:r>
          </w:p>
        </w:tc>
      </w:tr>
      <w:tr w:rsidR="29DE67B3" w14:paraId="405C0230" w14:textId="77777777" w:rsidTr="00533F51">
        <w:trPr>
          <w:trHeight w:val="492"/>
        </w:trPr>
        <w:tc>
          <w:tcPr>
            <w:tcW w:w="21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9EDF4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2121940E" w14:textId="3D112B79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9DE67B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Relevance to target market</w:t>
            </w:r>
          </w:p>
        </w:tc>
        <w:tc>
          <w:tcPr>
            <w:tcW w:w="76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9EDF4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675B402C" w14:textId="10F39800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9DE67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# of people f</w:t>
            </w:r>
            <w:r w:rsidR="008360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ro</w:t>
            </w:r>
            <w:r w:rsidRPr="29DE67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 target group with potential to be active in the sector/value chain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8D08D" w:themeFill="accent6" w:themeFillTint="99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2F87BC3F" w14:textId="0265A28F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2CC" w:themeFill="accent4" w:themeFillTint="33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17849D9F" w14:textId="76A0209E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CA2A2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1B9F797F" w14:textId="04FC6559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29DE67B3" w14:paraId="5A5CD033" w14:textId="77777777" w:rsidTr="00533F51">
        <w:trPr>
          <w:trHeight w:val="411"/>
        </w:trPr>
        <w:tc>
          <w:tcPr>
            <w:tcW w:w="21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0D8E8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7ECF7168" w14:textId="09B7F3D9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0D8E8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2EBBD398" w14:textId="538F3268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9DE67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Potential for target group to own businesses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8D08D" w:themeFill="accent6" w:themeFillTint="99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7AC29F76" w14:textId="11C6C6DE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2CC" w:themeFill="accent4" w:themeFillTint="33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0AC6C5C2" w14:textId="5A5BAC3F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CA2A2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612DF7F2" w14:textId="78388EFD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29DE67B3" w14:paraId="50EBA496" w14:textId="77777777" w:rsidTr="00533F51">
        <w:trPr>
          <w:trHeight w:val="411"/>
        </w:trPr>
        <w:tc>
          <w:tcPr>
            <w:tcW w:w="21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9EDF4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54F85DE0" w14:textId="389402AD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9DE67B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Wealth building potential</w:t>
            </w:r>
          </w:p>
        </w:tc>
        <w:tc>
          <w:tcPr>
            <w:tcW w:w="76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9EDF4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4BB21488" w14:textId="43B07EB5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9DE67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Market demand with potential for growth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8D08D" w:themeFill="accent6" w:themeFillTint="99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61E7D235" w14:textId="20168955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2CC" w:themeFill="accent4" w:themeFillTint="33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557FBA97" w14:textId="52E626DB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CA2A2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16944853" w14:textId="372B1564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29DE67B3" w14:paraId="311A7977" w14:textId="77777777" w:rsidTr="00533F51">
        <w:trPr>
          <w:trHeight w:val="330"/>
        </w:trPr>
        <w:tc>
          <w:tcPr>
            <w:tcW w:w="21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0D8E8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6913668D" w14:textId="15BBAC7B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0D8E8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5A20BCFE" w14:textId="6C5F3FF7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9DE67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# of new jobs or businesses that can be created.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8D08D" w:themeFill="accent6" w:themeFillTint="99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48257B44" w14:textId="5BDBFA25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2CC" w:themeFill="accent4" w:themeFillTint="33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3081A9EA" w14:textId="39F84B92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CA2A2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0F7138FF" w14:textId="69607DC6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29DE67B3" w14:paraId="350234AA" w14:textId="77777777" w:rsidTr="00533F51">
        <w:trPr>
          <w:trHeight w:val="321"/>
        </w:trPr>
        <w:tc>
          <w:tcPr>
            <w:tcW w:w="21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9EDF4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50B8CEE6" w14:textId="606A3B90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9EDF4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0E612615" w14:textId="1586C625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9DE67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Potential to increase ownership &amp; control over local assets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8D08D" w:themeFill="accent6" w:themeFillTint="99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5A965724" w14:textId="4E8E9C22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2CC" w:themeFill="accent4" w:themeFillTint="33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67E8A314" w14:textId="773E475A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CA2A2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11386922" w14:textId="7D706B49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29DE67B3" w14:paraId="4AEA2F9E" w14:textId="77777777" w:rsidTr="00533F51">
        <w:trPr>
          <w:trHeight w:val="303"/>
        </w:trPr>
        <w:tc>
          <w:tcPr>
            <w:tcW w:w="21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0D8E8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1000D2FE" w14:textId="3B913694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0D8E8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6F15CED3" w14:textId="2540EF73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9DE67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Potential to build multiple forms of community wealth. 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8D08D" w:themeFill="accent6" w:themeFillTint="99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1C0CD9FE" w14:textId="127F5140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2CC" w:themeFill="accent4" w:themeFillTint="33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6E172F45" w14:textId="7AFAA221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CA2A2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4C5003A3" w14:textId="7CF4C486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29DE67B3" w14:paraId="44E32C76" w14:textId="77777777" w:rsidTr="00533F51">
        <w:trPr>
          <w:trHeight w:val="321"/>
        </w:trPr>
        <w:tc>
          <w:tcPr>
            <w:tcW w:w="21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9EDF4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55AAF772" w14:textId="7969DDDC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9DE67B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Feasibility</w:t>
            </w:r>
          </w:p>
        </w:tc>
        <w:tc>
          <w:tcPr>
            <w:tcW w:w="76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9EDF4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1DB5D0C4" w14:textId="6937BB76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9DE67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Demand partners identified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8D08D" w:themeFill="accent6" w:themeFillTint="99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3153A94B" w14:textId="21C07E1C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2CC" w:themeFill="accent4" w:themeFillTint="33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3FD05B29" w14:textId="004FB2D7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CA2A2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789C4F64" w14:textId="710DD3C6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29DE67B3" w14:paraId="0C013604" w14:textId="77777777" w:rsidTr="00533F51">
        <w:trPr>
          <w:trHeight w:val="411"/>
        </w:trPr>
        <w:tc>
          <w:tcPr>
            <w:tcW w:w="21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0D8E8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64542447" w14:textId="1F51562B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0D8E8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41A5BF08" w14:textId="39A0B4A8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9DE67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Willingness of market players to adopt new practices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8D08D" w:themeFill="accent6" w:themeFillTint="99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5586CB52" w14:textId="30A44E12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2CC" w:themeFill="accent4" w:themeFillTint="33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4342E9A7" w14:textId="2E4588D2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CA2A2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05F67423" w14:textId="36E99C07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29DE67B3" w14:paraId="04FA4299" w14:textId="77777777" w:rsidTr="00533F51">
        <w:trPr>
          <w:trHeight w:val="393"/>
        </w:trPr>
        <w:tc>
          <w:tcPr>
            <w:tcW w:w="21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9EDF4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02FAA976" w14:textId="136DDCC6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9EDF4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26A83AAE" w14:textId="014E2B6D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9DE67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Prospects for attracting investment</w:t>
            </w: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8D08D" w:themeFill="accent6" w:themeFillTint="99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17F982E0" w14:textId="50523DB6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2CC" w:themeFill="accent4" w:themeFillTint="33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73E8227F" w14:textId="6A2EE04C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CA2A2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087F5192" w14:textId="49CB443D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29DE67B3" w14:paraId="1CF467A6" w14:textId="77777777" w:rsidTr="29DE67B3">
        <w:trPr>
          <w:trHeight w:val="570"/>
        </w:trPr>
        <w:tc>
          <w:tcPr>
            <w:tcW w:w="21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9EDF4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4F20D387" w14:textId="3A1CCA08" w:rsidR="4EB48492" w:rsidRDefault="4EB48492" w:rsidP="29DE67B3">
            <w:pPr>
              <w:spacing w:line="240" w:lineRule="exact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9DE67B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763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9EDF4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7BDD7A9D" w14:textId="5AA77011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8D08D" w:themeFill="accent6" w:themeFillTint="99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33E49F7B" w14:textId="001CCCD0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2CC" w:themeFill="accent4" w:themeFillTint="33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2FE4DDDB" w14:textId="727CDE40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CA2A2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0F029CB8" w14:textId="02730D58" w:rsidR="29DE67B3" w:rsidRDefault="29DE67B3" w:rsidP="29DE67B3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77A44705" w14:textId="65D862EA" w:rsidR="29DE67B3" w:rsidRDefault="29DE67B3" w:rsidP="29DE67B3"/>
    <w:sectPr w:rsidR="29DE67B3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FE7B" w14:textId="77777777" w:rsidR="00FE1978" w:rsidRDefault="00FE1978" w:rsidP="00FE1978">
      <w:pPr>
        <w:spacing w:after="0" w:line="240" w:lineRule="auto"/>
      </w:pPr>
      <w:r>
        <w:separator/>
      </w:r>
    </w:p>
  </w:endnote>
  <w:endnote w:type="continuationSeparator" w:id="0">
    <w:p w14:paraId="243E7ECD" w14:textId="77777777" w:rsidR="00FE1978" w:rsidRDefault="00FE1978" w:rsidP="00FE1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B8E4" w14:textId="48FA43CA" w:rsidR="00FE1978" w:rsidRDefault="00B3589E">
    <w:pPr>
      <w:pStyle w:val="Footer"/>
    </w:pPr>
    <w:r w:rsidRPr="00B3589E">
      <w:rPr>
        <w:noProof/>
      </w:rPr>
      <w:drawing>
        <wp:inline distT="0" distB="0" distL="0" distR="0" wp14:anchorId="44078356" wp14:editId="7874F8D2">
          <wp:extent cx="1806784" cy="353969"/>
          <wp:effectExtent l="0" t="0" r="0" b="1905"/>
          <wp:docPr id="11" name="Picture 10" descr="A colorful logo with letter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5F0BC5E-292F-0BAC-DE58-D131DFE2B15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A colorful logo with letters&#10;&#10;Description automatically generated">
                    <a:extLst>
                      <a:ext uri="{FF2B5EF4-FFF2-40B4-BE49-F238E27FC236}">
                        <a16:creationId xmlns:a16="http://schemas.microsoft.com/office/drawing/2014/main" id="{75F0BC5E-292F-0BAC-DE58-D131DFE2B15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0910" cy="372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7C54" w14:textId="77777777" w:rsidR="00FE1978" w:rsidRDefault="00FE1978" w:rsidP="00FE1978">
      <w:pPr>
        <w:spacing w:after="0" w:line="240" w:lineRule="auto"/>
      </w:pPr>
      <w:r>
        <w:separator/>
      </w:r>
    </w:p>
  </w:footnote>
  <w:footnote w:type="continuationSeparator" w:id="0">
    <w:p w14:paraId="655DF04E" w14:textId="77777777" w:rsidR="00FE1978" w:rsidRDefault="00FE1978" w:rsidP="00FE1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635E3"/>
    <w:multiLevelType w:val="hybridMultilevel"/>
    <w:tmpl w:val="0B5E869E"/>
    <w:lvl w:ilvl="0" w:tplc="F56A8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A03A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43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8E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32CF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B86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623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005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E9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969D6"/>
    <w:multiLevelType w:val="hybridMultilevel"/>
    <w:tmpl w:val="7FBA672E"/>
    <w:lvl w:ilvl="0" w:tplc="ED4E4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0B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208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A9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62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980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01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0E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103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099878">
    <w:abstractNumId w:val="0"/>
  </w:num>
  <w:num w:numId="2" w16cid:durableId="1337225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ED211D"/>
    <w:rsid w:val="00533F51"/>
    <w:rsid w:val="007F3C12"/>
    <w:rsid w:val="00836056"/>
    <w:rsid w:val="00B3589E"/>
    <w:rsid w:val="00FE1978"/>
    <w:rsid w:val="08F44453"/>
    <w:rsid w:val="0DEEBEAB"/>
    <w:rsid w:val="0E0B7D75"/>
    <w:rsid w:val="13722AC2"/>
    <w:rsid w:val="18459BE5"/>
    <w:rsid w:val="1F878A79"/>
    <w:rsid w:val="1FCA3112"/>
    <w:rsid w:val="26ED211D"/>
    <w:rsid w:val="29DE67B3"/>
    <w:rsid w:val="2BE6758B"/>
    <w:rsid w:val="3038FAA6"/>
    <w:rsid w:val="30725587"/>
    <w:rsid w:val="3715E9A0"/>
    <w:rsid w:val="3A112815"/>
    <w:rsid w:val="43A6F1B6"/>
    <w:rsid w:val="48CFCB51"/>
    <w:rsid w:val="4EB48492"/>
    <w:rsid w:val="52261B9D"/>
    <w:rsid w:val="52F84948"/>
    <w:rsid w:val="545645F7"/>
    <w:rsid w:val="56338077"/>
    <w:rsid w:val="5C482F7F"/>
    <w:rsid w:val="602FCB35"/>
    <w:rsid w:val="68BC78CB"/>
    <w:rsid w:val="6CC0D34B"/>
    <w:rsid w:val="70F1F120"/>
    <w:rsid w:val="7A55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D211D"/>
  <w15:chartTrackingRefBased/>
  <w15:docId w15:val="{FB2F85E1-8607-4C8C-86BE-0AEC791B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E1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978"/>
  </w:style>
  <w:style w:type="paragraph" w:styleId="Footer">
    <w:name w:val="footer"/>
    <w:basedOn w:val="Normal"/>
    <w:link w:val="FooterChar"/>
    <w:uiPriority w:val="99"/>
    <w:unhideWhenUsed/>
    <w:rsid w:val="00FE1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Levy</dc:creator>
  <cp:keywords/>
  <dc:description/>
  <cp:lastModifiedBy>Melissa Levy</cp:lastModifiedBy>
  <cp:revision>6</cp:revision>
  <dcterms:created xsi:type="dcterms:W3CDTF">2023-07-07T17:37:00Z</dcterms:created>
  <dcterms:modified xsi:type="dcterms:W3CDTF">2023-08-09T19:58:00Z</dcterms:modified>
</cp:coreProperties>
</file>